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515" w:rsidRPr="00CA371C" w:rsidRDefault="00A12515" w:rsidP="00A12515">
      <w:pPr>
        <w:spacing w:before="100" w:beforeAutospacing="1" w:after="100" w:afterAutospacing="1" w:line="240" w:lineRule="auto"/>
        <w:jc w:val="center"/>
        <w:outlineLvl w:val="3"/>
        <w:rPr>
          <w:rFonts w:ascii="Times New Roman" w:eastAsia="Times New Roman" w:hAnsi="Times New Roman" w:cs="Times New Roman"/>
          <w:b/>
          <w:bCs/>
          <w:color w:val="548DD4" w:themeColor="text2" w:themeTint="99"/>
          <w:sz w:val="24"/>
          <w:szCs w:val="24"/>
          <w:lang w:eastAsia="ru-RU"/>
        </w:rPr>
      </w:pPr>
      <w:r w:rsidRPr="00CA371C">
        <w:rPr>
          <w:rFonts w:ascii="Times New Roman" w:eastAsia="Times New Roman" w:hAnsi="Times New Roman" w:cs="Times New Roman"/>
          <w:b/>
          <w:bCs/>
          <w:color w:val="548DD4" w:themeColor="text2" w:themeTint="99"/>
          <w:sz w:val="24"/>
          <w:szCs w:val="24"/>
          <w:lang w:eastAsia="ru-RU"/>
        </w:rPr>
        <w:t>О налогообложении вносов, уплачиваемых членами СРО</w:t>
      </w:r>
    </w:p>
    <w:p w:rsidR="00A12515" w:rsidRPr="00A12515" w:rsidRDefault="00A12515" w:rsidP="00A12515">
      <w:pPr>
        <w:spacing w:before="100" w:beforeAutospacing="1" w:after="100" w:afterAutospacing="1" w:line="240" w:lineRule="auto"/>
        <w:rPr>
          <w:rFonts w:ascii="Times New Roman" w:eastAsia="Times New Roman" w:hAnsi="Times New Roman" w:cs="Times New Roman"/>
          <w:sz w:val="24"/>
          <w:szCs w:val="24"/>
          <w:lang w:eastAsia="ru-RU"/>
        </w:rPr>
      </w:pPr>
      <w:r w:rsidRPr="00A12515">
        <w:rPr>
          <w:rFonts w:ascii="Times New Roman" w:eastAsia="Times New Roman" w:hAnsi="Times New Roman" w:cs="Times New Roman"/>
          <w:sz w:val="24"/>
          <w:szCs w:val="24"/>
          <w:lang w:eastAsia="ru-RU"/>
        </w:rPr>
        <w:t>Письмо Министерства финансов РФ от 09.10.2009 № 03-03-07/25</w:t>
      </w:r>
    </w:p>
    <w:p w:rsidR="00A12515" w:rsidRPr="00A12515" w:rsidRDefault="00A12515" w:rsidP="00A12515">
      <w:pPr>
        <w:spacing w:before="100" w:beforeAutospacing="1" w:after="100" w:afterAutospacing="1" w:line="240" w:lineRule="auto"/>
        <w:rPr>
          <w:rFonts w:ascii="Times New Roman" w:eastAsia="Times New Roman" w:hAnsi="Times New Roman" w:cs="Times New Roman"/>
          <w:sz w:val="24"/>
          <w:szCs w:val="24"/>
          <w:lang w:eastAsia="ru-RU"/>
        </w:rPr>
      </w:pPr>
      <w:r w:rsidRPr="00A12515">
        <w:rPr>
          <w:rFonts w:ascii="Times New Roman" w:eastAsia="Times New Roman" w:hAnsi="Times New Roman" w:cs="Times New Roman"/>
          <w:sz w:val="24"/>
          <w:szCs w:val="24"/>
          <w:lang w:eastAsia="ru-RU"/>
        </w:rPr>
        <w:t xml:space="preserve">Департамент налоговой и таможенно-тарифной политики рассмотрел письмо по вопросу налогообложения взносов, уплачиваемых членами саморегулируемой организации, и сообщает следующее. </w:t>
      </w:r>
      <w:r w:rsidRPr="00A12515">
        <w:rPr>
          <w:rFonts w:ascii="Times New Roman" w:eastAsia="Times New Roman" w:hAnsi="Times New Roman" w:cs="Times New Roman"/>
          <w:sz w:val="24"/>
          <w:szCs w:val="24"/>
          <w:lang w:eastAsia="ru-RU"/>
        </w:rPr>
        <w:br/>
        <w:t>Согласно ст. 3 Федерального закона от 01.12.2007 N 315-ФЗ "О саморегулируемых организациях" (далее - Федеральный закон N 315-ФЗ) саморегулируемыми организациями признаются некоммерческие организации, созданные в целях, предусмотренных Федеральным законом N 315-ФЗ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r w:rsidRPr="00A12515">
        <w:rPr>
          <w:rFonts w:ascii="Times New Roman" w:eastAsia="Times New Roman" w:hAnsi="Times New Roman" w:cs="Times New Roman"/>
          <w:sz w:val="24"/>
          <w:szCs w:val="24"/>
          <w:lang w:eastAsia="ru-RU"/>
        </w:rPr>
        <w:br/>
        <w:t>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законом от 12.01.1996 N 7-ФЗ "О некоммерческих организациях", при условии ее соответствия требованиям, установленным Федеральным законом N 315-ФЗ.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Федеральном законе N 315-ФЗ требованиями к саморегулируемым организациям.</w:t>
      </w:r>
      <w:r w:rsidRPr="00A12515">
        <w:rPr>
          <w:rFonts w:ascii="Times New Roman" w:eastAsia="Times New Roman" w:hAnsi="Times New Roman" w:cs="Times New Roman"/>
          <w:sz w:val="24"/>
          <w:szCs w:val="24"/>
          <w:lang w:eastAsia="ru-RU"/>
        </w:rPr>
        <w:br/>
        <w:t>Требования к саморегулируемым организациям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установлены гл. 6.1 Градостроительного кодекса Российской Федерации (далее - Градостроительный кодекс).</w:t>
      </w:r>
      <w:r w:rsidRPr="00A12515">
        <w:rPr>
          <w:rFonts w:ascii="Times New Roman" w:eastAsia="Times New Roman" w:hAnsi="Times New Roman" w:cs="Times New Roman"/>
          <w:sz w:val="24"/>
          <w:szCs w:val="24"/>
          <w:lang w:eastAsia="ru-RU"/>
        </w:rPr>
        <w:br/>
        <w:t>Статьями 55.2 и 55.3 Градостроительного кодекса установлено, что саморегулируемые организации - это организации, созданные в форме некоммерческого партнерства, основанные на членстве лиц, выполняющих инженерные изыскания, подготовку проектной документации, осуществляющих строительство.</w:t>
      </w:r>
      <w:r w:rsidRPr="00A12515">
        <w:rPr>
          <w:rFonts w:ascii="Times New Roman" w:eastAsia="Times New Roman" w:hAnsi="Times New Roman" w:cs="Times New Roman"/>
          <w:sz w:val="24"/>
          <w:szCs w:val="24"/>
          <w:lang w:eastAsia="ru-RU"/>
        </w:rPr>
        <w:br/>
        <w:t>В соответствии со ст. 55.4 Градостроительного кодекса одним из требований к некоммерческой организации, необходимым для приобретения статуса саморегулируемой организации, является наличие компенсационного фонда.</w:t>
      </w:r>
      <w:r w:rsidRPr="00A12515">
        <w:rPr>
          <w:rFonts w:ascii="Times New Roman" w:eastAsia="Times New Roman" w:hAnsi="Times New Roman" w:cs="Times New Roman"/>
          <w:sz w:val="24"/>
          <w:szCs w:val="24"/>
          <w:lang w:eastAsia="ru-RU"/>
        </w:rPr>
        <w:br/>
        <w:t>Положениями ст. ст. 55.6 и 55.7 Градостроительного кодекса установлено требование об уплате вступительного взноса и взноса в компенсационный фонд, а также регулярных членских взносов для лиц, принятых в члены саморегулируемой организации.</w:t>
      </w:r>
      <w:r w:rsidRPr="00A12515">
        <w:rPr>
          <w:rFonts w:ascii="Times New Roman" w:eastAsia="Times New Roman" w:hAnsi="Times New Roman" w:cs="Times New Roman"/>
          <w:sz w:val="24"/>
          <w:szCs w:val="24"/>
          <w:lang w:eastAsia="ru-RU"/>
        </w:rPr>
        <w:br/>
        <w:t>Исходя из положений ст. 55.8 Градостроительного кодекса к осуществлению работ по инженерным изысканиям, архитектурно-строительному проектированию, строительству, реконструкции, капитальному ремонту основных средств, оказывающих влияние на безопасность объектов капитального строительства, допускаются организации, являющиеся членами саморегулируемой организации, уплатившие вступительный взнос, взнос в компенсационный фонд, а также уплачивающие регулярные членские взносы.</w:t>
      </w:r>
      <w:r w:rsidRPr="00A12515">
        <w:rPr>
          <w:rFonts w:ascii="Times New Roman" w:eastAsia="Times New Roman" w:hAnsi="Times New Roman" w:cs="Times New Roman"/>
          <w:sz w:val="24"/>
          <w:szCs w:val="24"/>
          <w:lang w:eastAsia="ru-RU"/>
        </w:rPr>
        <w:br/>
        <w:t>Таким образом, уплата данных взносов членами саморегулируемой организации является условием для получения допуска к осуществлению такими налогоплательщиками деятельности в вышеперечисленных областях.</w:t>
      </w:r>
      <w:r w:rsidRPr="00A12515">
        <w:rPr>
          <w:rFonts w:ascii="Times New Roman" w:eastAsia="Times New Roman" w:hAnsi="Times New Roman" w:cs="Times New Roman"/>
          <w:sz w:val="24"/>
          <w:szCs w:val="24"/>
          <w:lang w:eastAsia="ru-RU"/>
        </w:rPr>
        <w:br/>
        <w:t>В соответствии с п. 2 ст. 251 Налогового кодекса Российской Федерации (далее - Кодекс) при определении налоговой базы не учитываются целевые поступления (за исключением целевых поступлений в виде подакцизных товаров). К таким целевым поступлениям относятся, в частности, целевые поступления на содержание некоммерческих организаций и ведение ими уставной деятельности в виде вступительных взносов, осуществленных в соответствии с законодательством Российской Федерации о некоммерческих организациях.</w:t>
      </w:r>
      <w:r w:rsidRPr="00A12515">
        <w:rPr>
          <w:rFonts w:ascii="Times New Roman" w:eastAsia="Times New Roman" w:hAnsi="Times New Roman" w:cs="Times New Roman"/>
          <w:sz w:val="24"/>
          <w:szCs w:val="24"/>
          <w:lang w:eastAsia="ru-RU"/>
        </w:rPr>
        <w:br/>
        <w:t xml:space="preserve">Учитывая, что гражданское законодательство не содержит определения понятия "вступительный взнос в саморегулируемую организацию", взнос в компенсационный фонд саморегулируемой организации, являющийся неотъемлемым условием принятия в члены саморегулируемой организации и направляемый на формирование имущества саморегулируемой организации, </w:t>
      </w:r>
      <w:r w:rsidRPr="00A12515">
        <w:rPr>
          <w:rFonts w:ascii="Times New Roman" w:eastAsia="Times New Roman" w:hAnsi="Times New Roman" w:cs="Times New Roman"/>
          <w:sz w:val="24"/>
          <w:szCs w:val="24"/>
          <w:lang w:eastAsia="ru-RU"/>
        </w:rPr>
        <w:lastRenderedPageBreak/>
        <w:t>используемого целевым образом для ведения уставной деятельности в порядке, установленном Градостроительным кодексом, может рассматриваться для целей налогообложения прибыли как часть вступительного взноса в саморегулируемую организацию.</w:t>
      </w:r>
      <w:r w:rsidRPr="00A12515">
        <w:rPr>
          <w:rFonts w:ascii="Times New Roman" w:eastAsia="Times New Roman" w:hAnsi="Times New Roman" w:cs="Times New Roman"/>
          <w:sz w:val="24"/>
          <w:szCs w:val="24"/>
          <w:lang w:eastAsia="ru-RU"/>
        </w:rPr>
        <w:br/>
        <w:t>Исходя из изложенного доходы в виде взносов в компенсационный фонд, уплачиваемые членами саморегулируемой организации, по нашему мнению, для целей налогообложения прибыли в составе доходов данной саморегулируемой организации не учитываются, если указанные взносы удовлетворяют требованиям, установленным Градостроительным кодексом.</w:t>
      </w:r>
      <w:r w:rsidRPr="00A12515">
        <w:rPr>
          <w:rFonts w:ascii="Times New Roman" w:eastAsia="Times New Roman" w:hAnsi="Times New Roman" w:cs="Times New Roman"/>
          <w:sz w:val="24"/>
          <w:szCs w:val="24"/>
          <w:lang w:eastAsia="ru-RU"/>
        </w:rPr>
        <w:br/>
        <w:t xml:space="preserve">Согласно п. 40 ст. 270 Кодекса при определении налоговой базы по налогу на прибыль не учитываются расходы в виде взносов, вкладов и иных обязательных платежей, уплачиваемых некоммерческим организациям и международным организациям, кроме указанных в </w:t>
      </w:r>
      <w:proofErr w:type="spellStart"/>
      <w:r w:rsidRPr="00A12515">
        <w:rPr>
          <w:rFonts w:ascii="Times New Roman" w:eastAsia="Times New Roman" w:hAnsi="Times New Roman" w:cs="Times New Roman"/>
          <w:sz w:val="24"/>
          <w:szCs w:val="24"/>
          <w:lang w:eastAsia="ru-RU"/>
        </w:rPr>
        <w:t>пп</w:t>
      </w:r>
      <w:proofErr w:type="spellEnd"/>
      <w:r w:rsidRPr="00A12515">
        <w:rPr>
          <w:rFonts w:ascii="Times New Roman" w:eastAsia="Times New Roman" w:hAnsi="Times New Roman" w:cs="Times New Roman"/>
          <w:sz w:val="24"/>
          <w:szCs w:val="24"/>
          <w:lang w:eastAsia="ru-RU"/>
        </w:rPr>
        <w:t>. 29 и 30 п. 1 ст. 264 Кодекса.</w:t>
      </w:r>
      <w:r w:rsidRPr="00A12515">
        <w:rPr>
          <w:rFonts w:ascii="Times New Roman" w:eastAsia="Times New Roman" w:hAnsi="Times New Roman" w:cs="Times New Roman"/>
          <w:sz w:val="24"/>
          <w:szCs w:val="24"/>
          <w:lang w:eastAsia="ru-RU"/>
        </w:rPr>
        <w:br/>
        <w:t>Подпунктом 29 п. 1 ст. 264 Кодекса предусмотрено, что к прочим расходам, связанным с производством и реализацией, относятся расходы налогоплательщика в виде взносов, вклады и иные обязательные платежи, уплачиваемые некоммерческим организациям, если уплата таких взносов, вкладов и иных обязательных платежей является условием для осуществления деятельности налогоплательщиками - плательщиками таких взносов, вкладов или иных обязательных платежей.</w:t>
      </w:r>
      <w:r w:rsidRPr="00A12515">
        <w:rPr>
          <w:rFonts w:ascii="Times New Roman" w:eastAsia="Times New Roman" w:hAnsi="Times New Roman" w:cs="Times New Roman"/>
          <w:sz w:val="24"/>
          <w:szCs w:val="24"/>
          <w:lang w:eastAsia="ru-RU"/>
        </w:rPr>
        <w:br/>
        <w:t>Учитывая, что уплата вступительного взноса, взноса в компенсационный фонд, а также регулярных членских взносов в саморегулируемую организацию является условием для получения организацией допуска к осуществлению работ по инженерным изысканиям, архитектурно-строительному проектированию, строительству, реконструкции, капитальному ремонту объектов капитального строительства, оказывающих влияние на безопасность объектов капитального строительства, указанные платежи организации, осуществляющие работы по строительству, реконструкции и капитальному ремонту объектов капитального строительства, вправе учесть в целях исчисления налога на прибыль в составе прочих расходов, связанных с производством и реализацией.</w:t>
      </w:r>
    </w:p>
    <w:p w:rsidR="00A12515" w:rsidRPr="00A12515" w:rsidRDefault="00A12515" w:rsidP="00A12515">
      <w:pPr>
        <w:spacing w:before="100" w:beforeAutospacing="1" w:after="100" w:afterAutospacing="1" w:line="240" w:lineRule="auto"/>
        <w:rPr>
          <w:rFonts w:ascii="Times New Roman" w:eastAsia="Times New Roman" w:hAnsi="Times New Roman" w:cs="Times New Roman"/>
          <w:sz w:val="24"/>
          <w:szCs w:val="24"/>
          <w:lang w:eastAsia="ru-RU"/>
        </w:rPr>
      </w:pPr>
      <w:r w:rsidRPr="00A12515">
        <w:rPr>
          <w:rFonts w:ascii="Times New Roman" w:eastAsia="Times New Roman" w:hAnsi="Times New Roman" w:cs="Times New Roman"/>
          <w:sz w:val="24"/>
          <w:szCs w:val="24"/>
          <w:lang w:eastAsia="ru-RU"/>
        </w:rPr>
        <w:t>Заместитель директора</w:t>
      </w:r>
      <w:r w:rsidRPr="00A12515">
        <w:rPr>
          <w:rFonts w:ascii="Times New Roman" w:eastAsia="Times New Roman" w:hAnsi="Times New Roman" w:cs="Times New Roman"/>
          <w:sz w:val="24"/>
          <w:szCs w:val="24"/>
          <w:lang w:eastAsia="ru-RU"/>
        </w:rPr>
        <w:br/>
        <w:t>Департамента налоговой</w:t>
      </w:r>
      <w:r w:rsidRPr="00A12515">
        <w:rPr>
          <w:rFonts w:ascii="Times New Roman" w:eastAsia="Times New Roman" w:hAnsi="Times New Roman" w:cs="Times New Roman"/>
          <w:sz w:val="24"/>
          <w:szCs w:val="24"/>
          <w:lang w:eastAsia="ru-RU"/>
        </w:rPr>
        <w:br/>
        <w:t>и таможенно-тарифной политики</w:t>
      </w:r>
      <w:r w:rsidRPr="00A12515">
        <w:rPr>
          <w:rFonts w:ascii="Times New Roman" w:eastAsia="Times New Roman" w:hAnsi="Times New Roman" w:cs="Times New Roman"/>
          <w:sz w:val="24"/>
          <w:szCs w:val="24"/>
          <w:lang w:eastAsia="ru-RU"/>
        </w:rPr>
        <w:br/>
        <w:t>Н.А. КОМОВА</w:t>
      </w:r>
    </w:p>
    <w:p w:rsidR="00A12515" w:rsidRPr="00CA371C" w:rsidRDefault="00A12515" w:rsidP="00A12515">
      <w:pPr>
        <w:spacing w:before="100" w:beforeAutospacing="1" w:after="100" w:afterAutospacing="1" w:line="240" w:lineRule="auto"/>
        <w:jc w:val="center"/>
        <w:rPr>
          <w:rFonts w:ascii="Times New Roman" w:eastAsia="Times New Roman" w:hAnsi="Times New Roman" w:cs="Times New Roman"/>
          <w:b/>
          <w:bCs/>
          <w:color w:val="548DD4" w:themeColor="text2" w:themeTint="99"/>
          <w:sz w:val="24"/>
          <w:szCs w:val="24"/>
          <w:lang w:eastAsia="ru-RU"/>
        </w:rPr>
      </w:pPr>
      <w:r w:rsidRPr="00CA371C">
        <w:rPr>
          <w:rFonts w:ascii="Times New Roman" w:eastAsia="Times New Roman" w:hAnsi="Times New Roman" w:cs="Times New Roman"/>
          <w:b/>
          <w:bCs/>
          <w:color w:val="548DD4" w:themeColor="text2" w:themeTint="99"/>
          <w:sz w:val="24"/>
          <w:szCs w:val="24"/>
          <w:lang w:eastAsia="ru-RU"/>
        </w:rPr>
        <w:t>Для бухгалтеров, применяющих УСН</w:t>
      </w:r>
    </w:p>
    <w:p w:rsidR="00A12515" w:rsidRPr="00A12515" w:rsidRDefault="00A12515" w:rsidP="00A12515">
      <w:pPr>
        <w:spacing w:before="100" w:beforeAutospacing="1" w:after="100" w:afterAutospacing="1" w:line="240" w:lineRule="auto"/>
        <w:rPr>
          <w:rFonts w:ascii="Times New Roman" w:eastAsia="Times New Roman" w:hAnsi="Times New Roman" w:cs="Times New Roman"/>
          <w:sz w:val="24"/>
          <w:szCs w:val="24"/>
          <w:lang w:eastAsia="ru-RU"/>
        </w:rPr>
      </w:pPr>
      <w:r w:rsidRPr="00A12515">
        <w:rPr>
          <w:rFonts w:ascii="Times New Roman" w:eastAsia="Times New Roman" w:hAnsi="Times New Roman" w:cs="Times New Roman"/>
          <w:sz w:val="24"/>
          <w:szCs w:val="24"/>
          <w:lang w:eastAsia="ru-RU"/>
        </w:rPr>
        <w:t xml:space="preserve">Членские взносы в СРО не учитываются в расходах "упрощенца"  </w:t>
      </w:r>
      <w:r w:rsidRPr="00A12515">
        <w:rPr>
          <w:rFonts w:ascii="Times New Roman" w:eastAsia="Times New Roman" w:hAnsi="Times New Roman" w:cs="Times New Roman"/>
          <w:sz w:val="24"/>
          <w:szCs w:val="24"/>
          <w:lang w:eastAsia="ru-RU"/>
        </w:rPr>
        <w:br/>
      </w:r>
      <w:proofErr w:type="spellStart"/>
      <w:r w:rsidRPr="00A12515">
        <w:rPr>
          <w:rFonts w:ascii="Times New Roman" w:eastAsia="Times New Roman" w:hAnsi="Times New Roman" w:cs="Times New Roman"/>
          <w:sz w:val="24"/>
          <w:szCs w:val="24"/>
          <w:lang w:eastAsia="ru-RU"/>
        </w:rPr>
        <w:t>Налогоплатльщики</w:t>
      </w:r>
      <w:proofErr w:type="spellEnd"/>
      <w:r w:rsidRPr="00A12515">
        <w:rPr>
          <w:rFonts w:ascii="Times New Roman" w:eastAsia="Times New Roman" w:hAnsi="Times New Roman" w:cs="Times New Roman"/>
          <w:sz w:val="24"/>
          <w:szCs w:val="24"/>
          <w:lang w:eastAsia="ru-RU"/>
        </w:rPr>
        <w:t>, применяющие УСН с объектом налогообложения "доходы минус расходы" не могут учесть в расходах затраты в виде членских взносов и взносов в компенсационный фонд, уплачиваемых при вступлении в саморегулируемую организацию.</w:t>
      </w:r>
      <w:r w:rsidRPr="00A12515">
        <w:rPr>
          <w:rFonts w:ascii="Times New Roman" w:eastAsia="Times New Roman" w:hAnsi="Times New Roman" w:cs="Times New Roman"/>
          <w:sz w:val="24"/>
          <w:szCs w:val="24"/>
          <w:lang w:eastAsia="ru-RU"/>
        </w:rPr>
        <w:br/>
        <w:t>Об этом сказано в письме Минфина России от 15 июля 2009 г. № 03-11-06/2/126</w:t>
      </w:r>
      <w:r w:rsidRPr="00A12515">
        <w:rPr>
          <w:rFonts w:ascii="Times New Roman" w:eastAsia="Times New Roman" w:hAnsi="Times New Roman" w:cs="Times New Roman"/>
          <w:sz w:val="24"/>
          <w:szCs w:val="24"/>
          <w:lang w:eastAsia="ru-RU"/>
        </w:rPr>
        <w:br/>
        <w:t>Министерство финансов Российской Федерации</w:t>
      </w:r>
      <w:r w:rsidRPr="00A12515">
        <w:rPr>
          <w:rFonts w:ascii="Times New Roman" w:eastAsia="Times New Roman" w:hAnsi="Times New Roman" w:cs="Times New Roman"/>
          <w:sz w:val="24"/>
          <w:szCs w:val="24"/>
          <w:lang w:eastAsia="ru-RU"/>
        </w:rPr>
        <w:br/>
        <w:t>Письмо от 15 июля 2009 г. № 03-11-06/2/126</w:t>
      </w:r>
      <w:r w:rsidRPr="00A12515">
        <w:rPr>
          <w:rFonts w:ascii="Times New Roman" w:eastAsia="Times New Roman" w:hAnsi="Times New Roman" w:cs="Times New Roman"/>
          <w:sz w:val="24"/>
          <w:szCs w:val="24"/>
          <w:lang w:eastAsia="ru-RU"/>
        </w:rPr>
        <w:br/>
        <w:t>Департамент налоговой и таможенно-тарифной политики рассмотрел письмо по вопросу применения упрощенной системы налогообложения и сообщает следующее.</w:t>
      </w:r>
      <w:r w:rsidRPr="00A12515">
        <w:rPr>
          <w:rFonts w:ascii="Times New Roman" w:eastAsia="Times New Roman" w:hAnsi="Times New Roman" w:cs="Times New Roman"/>
          <w:sz w:val="24"/>
          <w:szCs w:val="24"/>
          <w:lang w:eastAsia="ru-RU"/>
        </w:rPr>
        <w:br/>
        <w:t>Перечень расходов, учитываемых при определении налоговой базы налогоплательщиками, применяющими упрощенную систему налогообложения и выбравшими в качестве объекта налогообложения доходы, уменьшенные на величину расходов, установлен п. 1 ст. 346.16 Налогового кодекса Российской Федерации.</w:t>
      </w:r>
      <w:r w:rsidRPr="00A12515">
        <w:rPr>
          <w:rFonts w:ascii="Times New Roman" w:eastAsia="Times New Roman" w:hAnsi="Times New Roman" w:cs="Times New Roman"/>
          <w:sz w:val="24"/>
          <w:szCs w:val="24"/>
          <w:lang w:eastAsia="ru-RU"/>
        </w:rPr>
        <w:br/>
        <w:t>Расходы в виде взносов некоммерческим организациям в вышеуказанный перечень расходов не включены.</w:t>
      </w:r>
      <w:r w:rsidRPr="00A12515">
        <w:rPr>
          <w:rFonts w:ascii="Times New Roman" w:eastAsia="Times New Roman" w:hAnsi="Times New Roman" w:cs="Times New Roman"/>
          <w:sz w:val="24"/>
          <w:szCs w:val="24"/>
          <w:lang w:eastAsia="ru-RU"/>
        </w:rPr>
        <w:br/>
        <w:t>Исходя из этого налогоплательщики, применяющие упрощенную систему налогообложения и выбравшие в качестве объекта налогообложения доходы, уменьшенные на величину расходов, не вправе учитывать в составе расходов при определении налоговой базы по налогу расходы в виде членских взносов и взносов в компенсационный фонд, уплачиваемых при вступлении в саморегулируемую организацию.</w:t>
      </w:r>
    </w:p>
    <w:p w:rsidR="00A12515" w:rsidRPr="00A12515" w:rsidRDefault="00A12515" w:rsidP="00A12515">
      <w:pPr>
        <w:spacing w:before="100" w:beforeAutospacing="1" w:after="100" w:afterAutospacing="1" w:line="240" w:lineRule="auto"/>
        <w:rPr>
          <w:rFonts w:ascii="Times New Roman" w:eastAsia="Times New Roman" w:hAnsi="Times New Roman" w:cs="Times New Roman"/>
          <w:sz w:val="24"/>
          <w:szCs w:val="24"/>
          <w:lang w:eastAsia="ru-RU"/>
        </w:rPr>
      </w:pPr>
      <w:r w:rsidRPr="00A12515">
        <w:rPr>
          <w:rFonts w:ascii="Times New Roman" w:eastAsia="Times New Roman" w:hAnsi="Times New Roman" w:cs="Times New Roman"/>
          <w:sz w:val="24"/>
          <w:szCs w:val="24"/>
          <w:lang w:eastAsia="ru-RU"/>
        </w:rPr>
        <w:t xml:space="preserve">Заместитель директора Департамента налоговой и таможенно-тарифной политики С. В. </w:t>
      </w:r>
      <w:proofErr w:type="spellStart"/>
      <w:r w:rsidRPr="00A12515">
        <w:rPr>
          <w:rFonts w:ascii="Times New Roman" w:eastAsia="Times New Roman" w:hAnsi="Times New Roman" w:cs="Times New Roman"/>
          <w:sz w:val="24"/>
          <w:szCs w:val="24"/>
          <w:lang w:eastAsia="ru-RU"/>
        </w:rPr>
        <w:t>Разгулин</w:t>
      </w:r>
      <w:proofErr w:type="spellEnd"/>
    </w:p>
    <w:p w:rsidR="00A12515" w:rsidRPr="00A12515" w:rsidRDefault="00A12515" w:rsidP="00A12515">
      <w:pPr>
        <w:spacing w:before="100" w:beforeAutospacing="1" w:after="100" w:afterAutospacing="1" w:line="240" w:lineRule="auto"/>
        <w:rPr>
          <w:rFonts w:ascii="Times New Roman" w:eastAsia="Times New Roman" w:hAnsi="Times New Roman" w:cs="Times New Roman"/>
          <w:sz w:val="24"/>
          <w:szCs w:val="24"/>
          <w:lang w:eastAsia="ru-RU"/>
        </w:rPr>
      </w:pPr>
      <w:r w:rsidRPr="00A12515">
        <w:rPr>
          <w:rFonts w:ascii="Times New Roman" w:eastAsia="Times New Roman" w:hAnsi="Times New Roman" w:cs="Times New Roman"/>
          <w:sz w:val="24"/>
          <w:szCs w:val="24"/>
          <w:lang w:eastAsia="ru-RU"/>
        </w:rPr>
        <w:lastRenderedPageBreak/>
        <w:t> </w:t>
      </w:r>
    </w:p>
    <w:p w:rsidR="00A12515" w:rsidRPr="00CA371C" w:rsidRDefault="00A12515" w:rsidP="00A12515">
      <w:pPr>
        <w:spacing w:before="100" w:beforeAutospacing="1" w:after="100" w:afterAutospacing="1" w:line="240" w:lineRule="auto"/>
        <w:jc w:val="center"/>
        <w:outlineLvl w:val="3"/>
        <w:rPr>
          <w:rFonts w:ascii="Times New Roman" w:eastAsia="Times New Roman" w:hAnsi="Times New Roman" w:cs="Times New Roman"/>
          <w:b/>
          <w:bCs/>
          <w:color w:val="548DD4" w:themeColor="text2" w:themeTint="99"/>
          <w:sz w:val="24"/>
          <w:szCs w:val="24"/>
          <w:lang w:eastAsia="ru-RU"/>
        </w:rPr>
      </w:pPr>
      <w:r w:rsidRPr="00CA371C">
        <w:rPr>
          <w:rFonts w:ascii="Times New Roman" w:eastAsia="Times New Roman" w:hAnsi="Times New Roman" w:cs="Times New Roman"/>
          <w:b/>
          <w:bCs/>
          <w:color w:val="548DD4" w:themeColor="text2" w:themeTint="99"/>
          <w:sz w:val="24"/>
          <w:szCs w:val="24"/>
          <w:lang w:eastAsia="ru-RU"/>
        </w:rPr>
        <w:t>Для Главных бухгалтеров членов СРО о счетах и счетах фактурах</w:t>
      </w:r>
    </w:p>
    <w:p w:rsidR="00A12515" w:rsidRPr="00A12515" w:rsidRDefault="00A12515" w:rsidP="00A12515">
      <w:pPr>
        <w:spacing w:before="100" w:beforeAutospacing="1" w:after="100" w:afterAutospacing="1" w:line="240" w:lineRule="auto"/>
        <w:rPr>
          <w:rFonts w:ascii="Times New Roman" w:eastAsia="Times New Roman" w:hAnsi="Times New Roman" w:cs="Times New Roman"/>
          <w:sz w:val="24"/>
          <w:szCs w:val="24"/>
          <w:lang w:eastAsia="ru-RU"/>
        </w:rPr>
      </w:pPr>
      <w:r w:rsidRPr="00A12515">
        <w:rPr>
          <w:rFonts w:ascii="Times New Roman" w:eastAsia="Times New Roman" w:hAnsi="Times New Roman" w:cs="Times New Roman"/>
          <w:sz w:val="24"/>
          <w:szCs w:val="24"/>
          <w:lang w:eastAsia="ru-RU"/>
        </w:rPr>
        <w:t xml:space="preserve">"Финансовая газета. Региональный выпуск", 2008, N 6 </w:t>
      </w:r>
      <w:r w:rsidRPr="00A12515">
        <w:rPr>
          <w:rFonts w:ascii="Times New Roman" w:eastAsia="Times New Roman" w:hAnsi="Times New Roman" w:cs="Times New Roman"/>
          <w:sz w:val="24"/>
          <w:szCs w:val="24"/>
          <w:lang w:eastAsia="ru-RU"/>
        </w:rPr>
        <w:br/>
        <w:t xml:space="preserve">Вопрос: Должна ли ассоциация выписывать своим членам для уплаты вступительных и членских взносов счета и счета-фактуры? </w:t>
      </w:r>
      <w:r w:rsidRPr="00A12515">
        <w:rPr>
          <w:rFonts w:ascii="Times New Roman" w:eastAsia="Times New Roman" w:hAnsi="Times New Roman" w:cs="Times New Roman"/>
          <w:sz w:val="24"/>
          <w:szCs w:val="24"/>
          <w:lang w:eastAsia="ru-RU"/>
        </w:rPr>
        <w:br/>
        <w:t xml:space="preserve">Ответ: </w:t>
      </w:r>
      <w:r w:rsidRPr="00A12515">
        <w:rPr>
          <w:rFonts w:ascii="Times New Roman" w:eastAsia="Times New Roman" w:hAnsi="Times New Roman" w:cs="Times New Roman"/>
          <w:sz w:val="24"/>
          <w:szCs w:val="24"/>
          <w:lang w:eastAsia="ru-RU"/>
        </w:rPr>
        <w:br/>
        <w:t>Счета-фактуры выписываются только покупателями и продавцами товаров (выполненных работ, оказанных услуг), имущественных прав. Поскольку при получении членских взносов ассоциация не оказывает услуги и не передает товары, счета-фактуры в рассмотренной ситуации выписывать не должны. Вместе с тем по сложившейся практике, в том числе международной, ассоциация может выписать для оплаты членских взносов счет с указанием своих реквизитов. Наличие такого счета не свидетельствует о получении платы за товары и услуги. Основаниями для оплаты членского взноса являются следующие документы:</w:t>
      </w:r>
      <w:r w:rsidRPr="00A12515">
        <w:rPr>
          <w:rFonts w:ascii="Times New Roman" w:eastAsia="Times New Roman" w:hAnsi="Times New Roman" w:cs="Times New Roman"/>
          <w:sz w:val="24"/>
          <w:szCs w:val="24"/>
          <w:lang w:eastAsia="ru-RU"/>
        </w:rPr>
        <w:br/>
        <w:t xml:space="preserve">-  решение руководящего органа организации - члена ассоциации о вступлении в ассоциацию, оформленное в виде приказа (распоряжения) единоличного исполнительного органа организации либо протокола заседания коллегиального выборного органа этой организации. Орган, уполномоченный принимать решение о вступлении в ассоциацию, определяется уставом организаций; </w:t>
      </w:r>
      <w:r w:rsidRPr="00A12515">
        <w:rPr>
          <w:rFonts w:ascii="Times New Roman" w:eastAsia="Times New Roman" w:hAnsi="Times New Roman" w:cs="Times New Roman"/>
          <w:sz w:val="24"/>
          <w:szCs w:val="24"/>
          <w:lang w:eastAsia="ru-RU"/>
        </w:rPr>
        <w:br/>
        <w:t xml:space="preserve">- информационное письмо ассоциации о размере членских взносов на текущий год либо счет (о котором шла речь выше); </w:t>
      </w:r>
      <w:r w:rsidRPr="00A12515">
        <w:rPr>
          <w:rFonts w:ascii="Times New Roman" w:eastAsia="Times New Roman" w:hAnsi="Times New Roman" w:cs="Times New Roman"/>
          <w:sz w:val="24"/>
          <w:szCs w:val="24"/>
          <w:lang w:eastAsia="ru-RU"/>
        </w:rPr>
        <w:br/>
        <w:t xml:space="preserve">- выписка из протокола руководящего органа ассоциации о приеме организации в члены ассоциации; </w:t>
      </w:r>
      <w:r w:rsidRPr="00A12515">
        <w:rPr>
          <w:rFonts w:ascii="Times New Roman" w:eastAsia="Times New Roman" w:hAnsi="Times New Roman" w:cs="Times New Roman"/>
          <w:sz w:val="24"/>
          <w:szCs w:val="24"/>
          <w:lang w:eastAsia="ru-RU"/>
        </w:rPr>
        <w:br/>
        <w:t xml:space="preserve">- в редких случаях оформляется соглашение о членстве, которое не носит характер договора возмездного оказания услуг, а уточняет и конкретизирует права и обязанности ассоциации и ее члена в соответствии с уставом ассоциации. </w:t>
      </w:r>
      <w:r w:rsidRPr="00A12515">
        <w:rPr>
          <w:rFonts w:ascii="Times New Roman" w:eastAsia="Times New Roman" w:hAnsi="Times New Roman" w:cs="Times New Roman"/>
          <w:sz w:val="24"/>
          <w:szCs w:val="24"/>
          <w:lang w:eastAsia="ru-RU"/>
        </w:rPr>
        <w:br/>
        <w:t xml:space="preserve">     При получении членских взносов ни в коем случае не следует оформлять такие документы, как "акт выполненных работ". </w:t>
      </w:r>
      <w:r w:rsidRPr="00A12515">
        <w:rPr>
          <w:rFonts w:ascii="Times New Roman" w:eastAsia="Times New Roman" w:hAnsi="Times New Roman" w:cs="Times New Roman"/>
          <w:sz w:val="24"/>
          <w:szCs w:val="24"/>
          <w:lang w:eastAsia="ru-RU"/>
        </w:rPr>
        <w:br/>
        <w:t xml:space="preserve">     Плательщик членского взноса единовременно списывает в бухгалтерском учете уплаченный взнос записями: </w:t>
      </w:r>
      <w:r w:rsidRPr="00A12515">
        <w:rPr>
          <w:rFonts w:ascii="Times New Roman" w:eastAsia="Times New Roman" w:hAnsi="Times New Roman" w:cs="Times New Roman"/>
          <w:sz w:val="24"/>
          <w:szCs w:val="24"/>
          <w:lang w:eastAsia="ru-RU"/>
        </w:rPr>
        <w:br/>
        <w:t xml:space="preserve">Д-т 76, К-т 51 - уплачен членский взнос; </w:t>
      </w:r>
      <w:r w:rsidRPr="00A12515">
        <w:rPr>
          <w:rFonts w:ascii="Times New Roman" w:eastAsia="Times New Roman" w:hAnsi="Times New Roman" w:cs="Times New Roman"/>
          <w:sz w:val="24"/>
          <w:szCs w:val="24"/>
          <w:lang w:eastAsia="ru-RU"/>
        </w:rPr>
        <w:br/>
        <w:t xml:space="preserve">Д-т 91, К-т 76 - списаны расходы на уплату членского взноса. </w:t>
      </w:r>
      <w:r w:rsidRPr="00A12515">
        <w:rPr>
          <w:rFonts w:ascii="Times New Roman" w:eastAsia="Times New Roman" w:hAnsi="Times New Roman" w:cs="Times New Roman"/>
          <w:sz w:val="24"/>
          <w:szCs w:val="24"/>
          <w:lang w:eastAsia="ru-RU"/>
        </w:rPr>
        <w:br/>
        <w:t xml:space="preserve">    Получатель членского взноса (ассоциация) отражает его поступление в учете следующими записями: </w:t>
      </w:r>
      <w:r w:rsidRPr="00A12515">
        <w:rPr>
          <w:rFonts w:ascii="Times New Roman" w:eastAsia="Times New Roman" w:hAnsi="Times New Roman" w:cs="Times New Roman"/>
          <w:sz w:val="24"/>
          <w:szCs w:val="24"/>
          <w:lang w:eastAsia="ru-RU"/>
        </w:rPr>
        <w:br/>
        <w:t xml:space="preserve">Д-т 76, К-т 86 - начислен членский взнос; </w:t>
      </w:r>
      <w:r w:rsidRPr="00A12515">
        <w:rPr>
          <w:rFonts w:ascii="Times New Roman" w:eastAsia="Times New Roman" w:hAnsi="Times New Roman" w:cs="Times New Roman"/>
          <w:sz w:val="24"/>
          <w:szCs w:val="24"/>
          <w:lang w:eastAsia="ru-RU"/>
        </w:rPr>
        <w:br/>
        <w:t xml:space="preserve">Д-т 51, К-т 76 - зачислен на расчетный счет членский взнос. </w:t>
      </w:r>
    </w:p>
    <w:p w:rsidR="00A12515" w:rsidRPr="00A12515" w:rsidRDefault="00A12515" w:rsidP="00A125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12515">
        <w:rPr>
          <w:rFonts w:ascii="Times New Roman" w:eastAsia="Times New Roman" w:hAnsi="Times New Roman" w:cs="Times New Roman"/>
          <w:sz w:val="24"/>
          <w:szCs w:val="24"/>
          <w:lang w:eastAsia="ru-RU"/>
        </w:rPr>
        <w:t xml:space="preserve">П.Гамольский </w:t>
      </w:r>
      <w:r w:rsidRPr="00A12515">
        <w:rPr>
          <w:rFonts w:ascii="Times New Roman" w:eastAsia="Times New Roman" w:hAnsi="Times New Roman" w:cs="Times New Roman"/>
          <w:sz w:val="24"/>
          <w:szCs w:val="24"/>
          <w:lang w:eastAsia="ru-RU"/>
        </w:rPr>
        <w:br/>
        <w:t xml:space="preserve">Председатель </w:t>
      </w:r>
      <w:r w:rsidRPr="00A12515">
        <w:rPr>
          <w:rFonts w:ascii="Times New Roman" w:eastAsia="Times New Roman" w:hAnsi="Times New Roman" w:cs="Times New Roman"/>
          <w:sz w:val="24"/>
          <w:szCs w:val="24"/>
          <w:lang w:eastAsia="ru-RU"/>
        </w:rPr>
        <w:br/>
        <w:t xml:space="preserve">Клуба бухгалтеров и аудиторов некоммерческих организаций </w:t>
      </w:r>
      <w:r w:rsidRPr="00A12515">
        <w:rPr>
          <w:rFonts w:ascii="Times New Roman" w:eastAsia="Times New Roman" w:hAnsi="Times New Roman" w:cs="Times New Roman"/>
          <w:sz w:val="24"/>
          <w:szCs w:val="24"/>
          <w:lang w:eastAsia="ru-RU"/>
        </w:rPr>
        <w:br/>
        <w:t xml:space="preserve">Подписано в печать 06.02.2008 </w:t>
      </w:r>
    </w:p>
    <w:p w:rsidR="00CA371C" w:rsidRDefault="00CA371C" w:rsidP="00CA371C">
      <w:pPr>
        <w:pStyle w:val="1"/>
        <w:rPr>
          <w:rFonts w:ascii="Trebuchet MS" w:hAnsi="Trebuchet MS"/>
        </w:rPr>
      </w:pPr>
    </w:p>
    <w:p w:rsidR="00CA371C" w:rsidRPr="00CA371C" w:rsidRDefault="00CA371C" w:rsidP="00CA371C">
      <w:pPr>
        <w:pStyle w:val="1"/>
        <w:jc w:val="center"/>
        <w:rPr>
          <w:rFonts w:ascii="Times New Roman" w:hAnsi="Times New Roman" w:cs="Times New Roman"/>
          <w:sz w:val="24"/>
          <w:szCs w:val="24"/>
        </w:rPr>
      </w:pPr>
      <w:bookmarkStart w:id="0" w:name="_GoBack"/>
      <w:r w:rsidRPr="00CA371C">
        <w:rPr>
          <w:rFonts w:ascii="Times New Roman" w:hAnsi="Times New Roman" w:cs="Times New Roman"/>
          <w:sz w:val="24"/>
          <w:szCs w:val="24"/>
        </w:rPr>
        <w:t>Министерство финансов РФ письмо от 25.02.2010 № 03-03-06/1/89</w:t>
      </w:r>
    </w:p>
    <w:bookmarkEnd w:id="0"/>
    <w:p w:rsidR="00CA371C" w:rsidRPr="00CA371C" w:rsidRDefault="00CA371C" w:rsidP="00CA371C">
      <w:pPr>
        <w:pStyle w:val="1"/>
        <w:rPr>
          <w:rFonts w:ascii="Trebuchet MS" w:hAnsi="Trebuchet MS"/>
          <w:sz w:val="32"/>
          <w:szCs w:val="32"/>
        </w:rPr>
      </w:pPr>
      <w:r>
        <w:rPr>
          <w:rFonts w:ascii="Trebuchet MS" w:hAnsi="Trebuchet MS"/>
          <w:color w:val="555555"/>
          <w:sz w:val="20"/>
          <w:szCs w:val="20"/>
        </w:rPr>
        <w:t>Об учете стоимости неиспользованной лицензии на осуществление строительной деятельности</w:t>
      </w:r>
      <w:r w:rsidRPr="00CA371C">
        <w:rPr>
          <w:rFonts w:ascii="Trebuchet MS" w:hAnsi="Trebuchet MS"/>
          <w:color w:val="555555"/>
          <w:sz w:val="20"/>
          <w:szCs w:val="20"/>
        </w:rPr>
        <w:t xml:space="preserve">/  </w:t>
      </w:r>
      <w:r>
        <w:rPr>
          <w:rFonts w:ascii="Trebuchet MS" w:hAnsi="Trebuchet MS"/>
          <w:color w:val="555555"/>
          <w:sz w:val="20"/>
          <w:szCs w:val="20"/>
        </w:rPr>
        <w:t>Департамент налоговой и таможенно-тарифной политики рассмотрел письмо по вопросу учета в целях налогообложения прибыли в расходах стоимости неиспользованной лицензии на осуществление строительной деятельности и сообщает следующее.</w:t>
      </w:r>
      <w:r>
        <w:rPr>
          <w:rFonts w:ascii="Trebuchet MS" w:hAnsi="Trebuchet MS"/>
          <w:color w:val="555555"/>
          <w:sz w:val="20"/>
          <w:szCs w:val="20"/>
        </w:rPr>
        <w:br/>
        <w:t>Статьей 3 Федерального закона от 22.07.2008 N 148-ФЗ "О внесении изменений в Градостроительный кодекс Российской Федерации и отдельные законодательные акты Российской Федерации" внесены изменения в п. 6.1 ст. 18 Федерального закона от 08.08.2001 N 128-ФЗ "О лицензировании отдельных видов деятельности", согласно которым с 1 января 2010 г. прекращается лицензирование следующих видов деятельности:</w:t>
      </w:r>
      <w:r>
        <w:rPr>
          <w:rFonts w:ascii="Trebuchet MS" w:hAnsi="Trebuchet MS"/>
          <w:color w:val="555555"/>
          <w:sz w:val="20"/>
          <w:szCs w:val="20"/>
        </w:rPr>
        <w:br/>
        <w:t>проектирование зданий и сооружений, за исключением сооружений сезонного или вспомогательного назначения;</w:t>
      </w:r>
      <w:r>
        <w:rPr>
          <w:rFonts w:ascii="Trebuchet MS" w:hAnsi="Trebuchet MS"/>
          <w:color w:val="555555"/>
          <w:sz w:val="20"/>
          <w:szCs w:val="20"/>
        </w:rPr>
        <w:br/>
        <w:t>строительство зданий и сооружений, за исключением сооружений сезонного или вспомогательного назначения;</w:t>
      </w:r>
      <w:r>
        <w:rPr>
          <w:rFonts w:ascii="Trebuchet MS" w:hAnsi="Trebuchet MS"/>
          <w:color w:val="555555"/>
          <w:sz w:val="20"/>
          <w:szCs w:val="20"/>
        </w:rPr>
        <w:br/>
        <w:t>инженерные изыскания для строительства зданий и сооружений, за исключением сооружений сезонного или вспомогательного назначения.</w:t>
      </w:r>
      <w:r>
        <w:rPr>
          <w:rFonts w:ascii="Trebuchet MS" w:hAnsi="Trebuchet MS"/>
          <w:color w:val="555555"/>
          <w:sz w:val="20"/>
          <w:szCs w:val="20"/>
        </w:rPr>
        <w:br/>
        <w:t>Предоставление лицензий на осуществление указанных видов деятельности прекращается с 1 января 2009 г. Действие лицензий на осуществление указанных видов деятельности, в том числе лицензий, срок действия которых продлен, прекращается с 1 января 2010 г.</w:t>
      </w:r>
      <w:r>
        <w:rPr>
          <w:rFonts w:ascii="Trebuchet MS" w:hAnsi="Trebuchet MS"/>
          <w:color w:val="555555"/>
          <w:sz w:val="20"/>
          <w:szCs w:val="20"/>
        </w:rPr>
        <w:br/>
        <w:t>Исходя из этого участники строительной деятельности, получившие лицензию до 1 января 2009 г., в целях налогообложения прибыли вправе отнести на расходы оставшуюся не учтенную в расходах стоимость лицензии единовременно.</w:t>
      </w:r>
      <w:r>
        <w:rPr>
          <w:rFonts w:ascii="Trebuchet MS" w:hAnsi="Trebuchet MS"/>
          <w:color w:val="555555"/>
          <w:sz w:val="20"/>
          <w:szCs w:val="20"/>
        </w:rPr>
        <w:br/>
        <w:t> </w:t>
      </w:r>
    </w:p>
    <w:p w:rsidR="00CA371C" w:rsidRDefault="00CA371C" w:rsidP="00CA371C">
      <w:pPr>
        <w:pStyle w:val="a3"/>
        <w:jc w:val="both"/>
        <w:rPr>
          <w:rFonts w:ascii="Trebuchet MS" w:hAnsi="Trebuchet MS"/>
          <w:color w:val="555555"/>
          <w:sz w:val="20"/>
          <w:szCs w:val="20"/>
        </w:rPr>
      </w:pPr>
      <w:r>
        <w:rPr>
          <w:rFonts w:ascii="Trebuchet MS" w:hAnsi="Trebuchet MS"/>
          <w:color w:val="555555"/>
          <w:sz w:val="20"/>
          <w:szCs w:val="20"/>
        </w:rPr>
        <w:t xml:space="preserve">                                                                                                                      </w:t>
      </w:r>
    </w:p>
    <w:p w:rsidR="00CA371C" w:rsidRDefault="00CA371C" w:rsidP="00CA371C">
      <w:pPr>
        <w:pStyle w:val="a3"/>
        <w:tabs>
          <w:tab w:val="left" w:pos="7650"/>
        </w:tabs>
        <w:spacing w:before="0" w:beforeAutospacing="0" w:after="0" w:afterAutospacing="0"/>
        <w:jc w:val="right"/>
        <w:rPr>
          <w:rFonts w:ascii="Trebuchet MS" w:hAnsi="Trebuchet MS"/>
          <w:color w:val="555555"/>
          <w:sz w:val="20"/>
          <w:szCs w:val="20"/>
        </w:rPr>
      </w:pPr>
      <w:r>
        <w:rPr>
          <w:rFonts w:ascii="Trebuchet MS" w:hAnsi="Trebuchet MS"/>
          <w:color w:val="555555"/>
          <w:sz w:val="20"/>
          <w:szCs w:val="20"/>
        </w:rPr>
        <w:tab/>
        <w:t xml:space="preserve">  </w:t>
      </w:r>
      <w:r>
        <w:rPr>
          <w:rFonts w:ascii="Trebuchet MS" w:hAnsi="Trebuchet MS"/>
          <w:color w:val="555555"/>
          <w:sz w:val="20"/>
          <w:szCs w:val="20"/>
          <w:lang w:val="en-US"/>
        </w:rPr>
        <w:t>Заместитель директор</w:t>
      </w:r>
      <w:r>
        <w:rPr>
          <w:rFonts w:ascii="Trebuchet MS" w:hAnsi="Trebuchet MS"/>
          <w:color w:val="555555"/>
          <w:sz w:val="20"/>
          <w:szCs w:val="20"/>
        </w:rPr>
        <w:t>а</w:t>
      </w:r>
    </w:p>
    <w:p w:rsidR="00CA371C" w:rsidRDefault="00CA371C" w:rsidP="00CA371C">
      <w:pPr>
        <w:pStyle w:val="a3"/>
        <w:tabs>
          <w:tab w:val="left" w:pos="7650"/>
        </w:tabs>
        <w:spacing w:before="0" w:beforeAutospacing="0" w:after="0" w:afterAutospacing="0"/>
        <w:jc w:val="right"/>
        <w:rPr>
          <w:rFonts w:ascii="Trebuchet MS" w:hAnsi="Trebuchet MS"/>
          <w:color w:val="555555"/>
          <w:sz w:val="20"/>
          <w:szCs w:val="20"/>
        </w:rPr>
      </w:pPr>
      <w:r>
        <w:rPr>
          <w:rFonts w:ascii="Trebuchet MS" w:hAnsi="Trebuchet MS"/>
          <w:color w:val="555555"/>
          <w:sz w:val="20"/>
          <w:szCs w:val="20"/>
        </w:rPr>
        <w:t xml:space="preserve">                                                                                                                                 Департамента налоговой и            таможенно- </w:t>
      </w:r>
      <w:proofErr w:type="gramStart"/>
      <w:r>
        <w:rPr>
          <w:rFonts w:ascii="Trebuchet MS" w:hAnsi="Trebuchet MS"/>
          <w:color w:val="555555"/>
          <w:sz w:val="20"/>
          <w:szCs w:val="20"/>
        </w:rPr>
        <w:t>тарифной  политики</w:t>
      </w:r>
      <w:proofErr w:type="gramEnd"/>
      <w:r>
        <w:rPr>
          <w:rFonts w:ascii="Trebuchet MS" w:hAnsi="Trebuchet MS"/>
          <w:color w:val="555555"/>
          <w:sz w:val="20"/>
          <w:szCs w:val="20"/>
        </w:rPr>
        <w:t xml:space="preserve"> </w:t>
      </w:r>
    </w:p>
    <w:p w:rsidR="00CA371C" w:rsidRPr="00CA371C" w:rsidRDefault="00CA371C" w:rsidP="00CA371C">
      <w:pPr>
        <w:pStyle w:val="a3"/>
        <w:tabs>
          <w:tab w:val="left" w:pos="7650"/>
        </w:tabs>
        <w:spacing w:before="0" w:beforeAutospacing="0" w:after="0" w:afterAutospacing="0"/>
        <w:jc w:val="right"/>
        <w:rPr>
          <w:rFonts w:ascii="Trebuchet MS" w:hAnsi="Trebuchet MS"/>
          <w:color w:val="555555"/>
          <w:sz w:val="20"/>
          <w:szCs w:val="20"/>
        </w:rPr>
      </w:pPr>
      <w:r>
        <w:rPr>
          <w:rFonts w:ascii="Trebuchet MS" w:hAnsi="Trebuchet MS"/>
          <w:color w:val="555555"/>
          <w:sz w:val="20"/>
          <w:szCs w:val="20"/>
        </w:rPr>
        <w:t xml:space="preserve">С.Ф. РАЗГУЛИН    </w:t>
      </w:r>
    </w:p>
    <w:p w:rsidR="00CA371C" w:rsidRDefault="00CA371C" w:rsidP="00CA371C">
      <w:pPr>
        <w:pStyle w:val="a3"/>
        <w:jc w:val="both"/>
        <w:rPr>
          <w:rFonts w:ascii="Trebuchet MS" w:hAnsi="Trebuchet MS"/>
          <w:color w:val="555555"/>
          <w:sz w:val="20"/>
          <w:szCs w:val="20"/>
        </w:rPr>
      </w:pPr>
    </w:p>
    <w:p w:rsidR="00CA371C" w:rsidRDefault="00CA371C" w:rsidP="00CA371C">
      <w:pPr>
        <w:pStyle w:val="a3"/>
        <w:jc w:val="both"/>
        <w:rPr>
          <w:rFonts w:ascii="Trebuchet MS" w:hAnsi="Trebuchet MS"/>
          <w:color w:val="555555"/>
          <w:sz w:val="20"/>
          <w:szCs w:val="20"/>
        </w:rPr>
      </w:pPr>
    </w:p>
    <w:p w:rsidR="00CA371C" w:rsidRDefault="00CA371C" w:rsidP="00CA371C">
      <w:pPr>
        <w:pStyle w:val="a3"/>
        <w:jc w:val="both"/>
        <w:rPr>
          <w:rFonts w:ascii="Trebuchet MS" w:hAnsi="Trebuchet MS"/>
          <w:color w:val="555555"/>
          <w:sz w:val="20"/>
          <w:szCs w:val="20"/>
        </w:rPr>
      </w:pPr>
    </w:p>
    <w:p w:rsidR="00CA371C" w:rsidRDefault="00CA371C" w:rsidP="00CA371C">
      <w:pPr>
        <w:pStyle w:val="a3"/>
        <w:jc w:val="both"/>
        <w:rPr>
          <w:rFonts w:ascii="Trebuchet MS" w:hAnsi="Trebuchet MS"/>
          <w:color w:val="555555"/>
          <w:sz w:val="20"/>
          <w:szCs w:val="20"/>
        </w:rPr>
      </w:pPr>
    </w:p>
    <w:p w:rsidR="0091214B" w:rsidRDefault="0091214B"/>
    <w:sectPr w:rsidR="0091214B" w:rsidSect="00A125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D6"/>
    <w:rsid w:val="002213D6"/>
    <w:rsid w:val="0091214B"/>
    <w:rsid w:val="00A12515"/>
    <w:rsid w:val="00CA371C"/>
    <w:rsid w:val="00E40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D951B-3CFD-4A0C-B585-80277B07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A371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371C"/>
    <w:rPr>
      <w:rFonts w:asciiTheme="majorHAnsi" w:eastAsiaTheme="majorEastAsia" w:hAnsiTheme="majorHAnsi" w:cstheme="majorBidi"/>
      <w:b/>
      <w:bCs/>
      <w:color w:val="365F91" w:themeColor="accent1" w:themeShade="BF"/>
      <w:sz w:val="28"/>
      <w:szCs w:val="28"/>
      <w:lang w:eastAsia="ru-RU"/>
    </w:rPr>
  </w:style>
  <w:style w:type="paragraph" w:styleId="a3">
    <w:name w:val="Normal (Web)"/>
    <w:basedOn w:val="a"/>
    <w:uiPriority w:val="99"/>
    <w:semiHidden/>
    <w:unhideWhenUsed/>
    <w:rsid w:val="00CA37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02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1778</Words>
  <Characters>10137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BRP3</dc:creator>
  <cp:keywords/>
  <dc:description/>
  <cp:lastModifiedBy>I</cp:lastModifiedBy>
  <cp:revision>3</cp:revision>
  <dcterms:created xsi:type="dcterms:W3CDTF">2015-11-16T02:49:00Z</dcterms:created>
  <dcterms:modified xsi:type="dcterms:W3CDTF">2015-11-16T02:56:00Z</dcterms:modified>
</cp:coreProperties>
</file>